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Pielikums Nr.1 </w:t>
      </w:r>
      <w:r>
        <w:rPr>
          <w:b w:val="false"/>
          <w:bCs w:val="false"/>
          <w:sz w:val="20"/>
          <w:szCs w:val="20"/>
        </w:rPr>
        <w:t xml:space="preserve">Tirgus izpētei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Metāla durvju bloku izgatavošana un nomaiņa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ar pilnu apdari daudzdzīvokļu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dzīvojamai </w:t>
      </w:r>
    </w:p>
    <w:p>
      <w:pPr>
        <w:pStyle w:val="Standard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mājai Tautas ielā 13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ar-SA" w:bidi="ar-SA"/>
        </w:rPr>
        <w:br/>
        <w:t xml:space="preserve">Identifikācijas numurs </w:t>
      </w:r>
      <w:r>
        <w:rPr>
          <w:rFonts w:eastAsia="Calibri" w:cs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P/A „SAN-TEX” 202</w:t>
      </w:r>
      <w:r>
        <w:rPr>
          <w:rFonts w:eastAsia="Calibri" w:cs="Times New Roman" w:eastAsiaTheme="minorHAnsi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4</w:t>
      </w:r>
      <w:r>
        <w:rPr>
          <w:rFonts w:eastAsia="Calibri" w:cs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-</w:t>
      </w:r>
      <w:r>
        <w:rPr>
          <w:rFonts w:eastAsia="Calibri" w:cs="Times New Roman" w:eastAsiaTheme="minorHAnsi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11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lv-LV" w:eastAsia="ar-SA" w:bidi="ar-SA"/>
        </w:rPr>
        <w:t>.</w:t>
      </w:r>
    </w:p>
    <w:p>
      <w:pPr>
        <w:pStyle w:val="Standard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TEHNISKĀ SPECIFIKĀCIJA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>DAUDZDZĪVOKĻU DZĪVOJAMĀS MĀJ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lv-LV" w:eastAsia="lv-LV" w:bidi="ar-SA"/>
        </w:rPr>
        <w:t>AS Tautas IELĀ 13 KĀPŅU TELPU IEEJU ĀRDURVJU BLOKU IZGATAVOŠANA UN NOMAIŅA AR PILNU APDARI.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tabs>
          <w:tab w:val="clear" w:pos="720"/>
          <w:tab w:val="left" w:pos="51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Pakalpojuma veicējs veic tirgus izpētes instrukcijā minētos darbus saskaņā ar šo Tehnisko specifikāciju.</w:t>
      </w:r>
    </w:p>
    <w:p>
      <w:pPr>
        <w:pStyle w:val="Standard"/>
        <w:tabs>
          <w:tab w:val="clear" w:pos="720"/>
          <w:tab w:val="left" w:pos="51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Pretendentam darbu izpildē jānodrošina atbilstoši kvalificētu un pieredzējušu tehnisko speciālistu piesaistīšana darbu veikšanai.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Pretendentam jānodrošina darbu izpildei nepieciešamā tehnika, iekārtas, instrumenti un cits tehniskais nodrošinājums pasūtījuma realizācijai atbilstoši tehniskās specifikācijas prasībām.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Piegādātajā d</w:t>
      </w:r>
      <w:r>
        <w:rPr>
          <w:rFonts w:eastAsia="NSimSun" w:cs="Mangal"/>
          <w:color w:val="auto"/>
          <w:kern w:val="2"/>
          <w:sz w:val="24"/>
          <w:szCs w:val="24"/>
          <w:u w:val="none"/>
          <w:lang w:val="lv-LV" w:eastAsia="zh-CN" w:bidi="hi-IN"/>
        </w:rPr>
        <w:t>urvju</w:t>
      </w:r>
      <w:r>
        <w:rPr>
          <w:sz w:val="24"/>
          <w:szCs w:val="24"/>
        </w:rPr>
        <w:t xml:space="preserve"> komplektā jābūt uzstādītiem visiem nepieciešamajiem  komplektējošiem elementiem.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eastAsia="NSimSun" w:cs="Mangal"/>
          <w:b/>
          <w:bCs/>
          <w:color w:val="auto"/>
          <w:kern w:val="2"/>
          <w:sz w:val="24"/>
          <w:szCs w:val="24"/>
          <w:lang w:val="lv-LV" w:eastAsia="zh-CN" w:bidi="hi-IN"/>
        </w:rPr>
        <w:t>Ārdurvju bloku</w:t>
      </w:r>
      <w:r>
        <w:rPr>
          <w:b/>
          <w:bCs/>
          <w:sz w:val="24"/>
          <w:szCs w:val="24"/>
        </w:rPr>
        <w:t xml:space="preserve"> nomaiņa ar pilnu apdari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283" w:right="0" w:hanging="28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Piegādātājs veic ieeju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lv-LV" w:eastAsia="lv-LV" w:bidi="ar-SA"/>
        </w:rPr>
        <w:t>ārdurvju</w:t>
      </w:r>
      <w:r>
        <w:rPr>
          <w:sz w:val="24"/>
          <w:szCs w:val="24"/>
        </w:rPr>
        <w:t xml:space="preserve"> bloku izgatavošanu atbilstoši specifikācijai, ar kuriem veic esošo ieeju ārdurvju bloku nomaiņu. Vienlaikus ar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lv-LV" w:eastAsia="lv-LV" w:bidi="ar-SA"/>
        </w:rPr>
        <w:t xml:space="preserve">ārdurvju </w:t>
      </w:r>
      <w:r>
        <w:rPr>
          <w:sz w:val="24"/>
          <w:szCs w:val="24"/>
        </w:rPr>
        <w:t xml:space="preserve"> bloku nomaiņu piegādātājs veic arī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lv-LV" w:eastAsia="lv-LV" w:bidi="ar-SA"/>
        </w:rPr>
        <w:t>ārdurvju</w:t>
      </w:r>
      <w:r>
        <w:rPr>
          <w:sz w:val="24"/>
          <w:szCs w:val="24"/>
        </w:rPr>
        <w:t xml:space="preserve"> nomaiņas rezultātā bojātās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lv-LV" w:eastAsia="lv-LV" w:bidi="ar-SA"/>
        </w:rPr>
        <w:t>ārdurvju</w:t>
      </w:r>
      <w:r>
        <w:rPr>
          <w:sz w:val="24"/>
          <w:szCs w:val="24"/>
        </w:rPr>
        <w:t xml:space="preserve"> aiļu apdares atjaunošanu, novēršot darbu gaitā radušos defektus. Iekšējā un ārējā apdare  atjaunojamas līdzvērtīgā esošajam materiālu izpildījumā izskatā un krāsojumā. Veicot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lv-LV" w:eastAsia="lv-LV" w:bidi="ar-SA"/>
        </w:rPr>
        <w:t>ārdurvju</w:t>
      </w:r>
      <w:r>
        <w:rPr>
          <w:sz w:val="24"/>
          <w:szCs w:val="24"/>
        </w:rPr>
        <w:t xml:space="preserve"> nomaiņu, piegādātājs nedrīkst bojāt ēkas fasādi, un tam ir jārūpējas par ēkas fasādes arhitektoniskā izskata saglabāšanu.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454" w:right="0" w:hanging="454"/>
        <w:jc w:val="both"/>
        <w:textAlignment w:val="baseline"/>
        <w:rPr/>
      </w:pPr>
      <w:r>
        <w:rPr>
          <w:sz w:val="24"/>
          <w:szCs w:val="24"/>
        </w:rPr>
        <w:t>2. Objektā uz vietas veicamo darbu (montāža, aiļu apdare un dekoratīvo elementu atjaunošana u.c.) veikšanas laiki saskaņojami ar Pasūtītāju.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454" w:right="0" w:hanging="454"/>
        <w:jc w:val="both"/>
        <w:textAlignment w:val="baseline"/>
        <w:rPr/>
      </w:pPr>
      <w:r>
        <w:rPr>
          <w:sz w:val="24"/>
          <w:szCs w:val="24"/>
        </w:rPr>
        <w:t>3. Tehniskās prasības nomaināmaj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ām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lv-LV" w:eastAsia="lv-LV" w:bidi="ar-SA"/>
        </w:rPr>
        <w:t>ārdurvīm</w:t>
      </w:r>
      <w:r>
        <w:rPr>
          <w:sz w:val="24"/>
          <w:szCs w:val="24"/>
        </w:rPr>
        <w:t>: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737" w:right="0" w:hanging="51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  <w:lang w:val="lv-LV"/>
        </w:rPr>
        <w:t>durvju kārbas karkass izgatavots no profilētas metāla caurules 60 x 40 mm, sienas biezums 2mm;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737" w:right="0" w:hanging="51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lv-LV"/>
        </w:rPr>
        <w:t>3.2. durvju vērtņu karkass izgatavots no profilētas metāla caurules 40 x 40 mm, sienas biezums 2mm;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737" w:right="0" w:hanging="51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lv-LV"/>
        </w:rPr>
        <w:t>3.3. durvju kārbas un vērtnes abas plaknes apšūtas ar 2mm biezu metāla loksni no abām pusēm;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737" w:right="0" w:hanging="51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lv-LV"/>
        </w:rPr>
        <w:t>3.4. durvju vērtņu cilpas izgatavotas izmantojot lodveida gultņu tehnoloģiju;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3.5. durvju kārbas, pildu un vērtnes, kā arī profilētās caurules piepildītas un siltinātas ar minerālo vai akmens vati;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3.6. gumijas blīvju blīvējums, iestrādāts durvju kārbā un vērtnē;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3.7. durvju bloka metāla virsmai jābūt: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454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>3.7.1. apstrādātai ar pretkorozijas līdzekli;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454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>3.7.2. nogruntētai ar grunti;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454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 xml:space="preserve">3.7.3. Pulverkrāsojums ar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lv-LV"/>
        </w:rPr>
        <w:t>tumši brūnu</w:t>
      </w:r>
      <w:r>
        <w:rPr>
          <w:rFonts w:ascii="Times New Roman" w:hAnsi="Times New Roman"/>
          <w:sz w:val="24"/>
          <w:szCs w:val="24"/>
          <w:lang w:val="lv-LV"/>
        </w:rPr>
        <w:t xml:space="preserve"> krāsu;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454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>3.7.4. pretkorozijas un krāsas garantija 2 gadi.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4. 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lv-LV"/>
        </w:rPr>
        <w:t>Ja</w:t>
      </w:r>
      <w:r>
        <w:rPr>
          <w:rFonts w:ascii="Times New Roman" w:hAnsi="Times New Roman"/>
          <w:sz w:val="24"/>
          <w:szCs w:val="24"/>
          <w:lang w:val="lv-LV"/>
        </w:rPr>
        <w:t xml:space="preserve"> kāpņu telpas un pagraba durvis veido vienotu durvju bloku ar metāla starpsienu, tad uz starpsienu attiecas visas augstākminētās prasības karkasam, virsmas apstrādei un durvju vērtņu siltināšanas tehnoloģijai.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5. Pagraba un ieejas durvīm ielikt iekaļamās atslēgas 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lv-LV"/>
        </w:rPr>
        <w:t>Kurzeme ZV-4</w:t>
      </w:r>
      <w:r>
        <w:rPr>
          <w:rFonts w:ascii="Times New Roman" w:hAnsi="Times New Roman"/>
          <w:sz w:val="24"/>
          <w:szCs w:val="24"/>
          <w:lang w:val="lv-LV"/>
        </w:rPr>
        <w:t xml:space="preserve"> vai analogu un atslēgu vīlēšana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lv-LV"/>
        </w:rPr>
        <w:t>12</w:t>
      </w:r>
      <w:r>
        <w:rPr>
          <w:rFonts w:ascii="Times New Roman" w:hAnsi="Times New Roman"/>
          <w:sz w:val="24"/>
          <w:szCs w:val="24"/>
          <w:lang w:val="lv-LV"/>
        </w:rPr>
        <w:t xml:space="preserve"> gab.;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6. Pagraba durvīm ventilācijas rest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lv-LV" w:eastAsia="en-US" w:bidi="ar-SA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 xml:space="preserve">s izmēri: </w:t>
      </w:r>
      <w:r>
        <w:rPr>
          <w:rFonts w:ascii="Times New Roman" w:hAnsi="Times New Roman"/>
          <w:sz w:val="24"/>
          <w:szCs w:val="24"/>
          <w:shd w:fill="auto" w:val="clear"/>
          <w:lang w:val="lv-LV"/>
        </w:rPr>
        <w:t>150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lv-LV" w:eastAsia="en-US" w:bidi="ar-SA"/>
        </w:rPr>
        <w:t>X</w:t>
      </w:r>
      <w:r>
        <w:rPr>
          <w:rFonts w:ascii="Times New Roman" w:hAnsi="Times New Roman"/>
          <w:sz w:val="24"/>
          <w:szCs w:val="24"/>
          <w:shd w:fill="auto" w:val="clear"/>
          <w:lang w:val="lv-LV"/>
        </w:rPr>
        <w:t>150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7. Starp durvīm savienojuma pildu nosiltināt  ar akmens vati un ap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lv-LV" w:eastAsia="en-US" w:bidi="ar-SA"/>
        </w:rPr>
        <w:t>šūt</w:t>
      </w:r>
      <w:r>
        <w:rPr>
          <w:rFonts w:ascii="Times New Roman" w:hAnsi="Times New Roman"/>
          <w:sz w:val="24"/>
          <w:szCs w:val="24"/>
          <w:lang w:val="lv-LV"/>
        </w:rPr>
        <w:t xml:space="preserve"> ar bērza saplāksni vai metāla starpsienu (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lv-LV"/>
        </w:rPr>
        <w:t>tumši brūns</w:t>
      </w:r>
      <w:r>
        <w:rPr>
          <w:rFonts w:ascii="Times New Roman" w:hAnsi="Times New Roman"/>
          <w:sz w:val="24"/>
          <w:szCs w:val="24"/>
          <w:lang w:val="lv-LV"/>
        </w:rPr>
        <w:t>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8. garantijas apkalpošana 2 (divi) gadi, bojājumu novēršana </w:t>
      </w:r>
      <w:r>
        <w:rPr>
          <w:rFonts w:cs="" w:ascii="Times New Roman" w:hAnsi="Times New Roman" w:cstheme="minorBidi"/>
          <w:sz w:val="24"/>
          <w:szCs w:val="24"/>
          <w:shd w:fill="auto" w:val="clear"/>
          <w:lang w:val="lv-LV"/>
        </w:rPr>
        <w:t>24 stundu</w:t>
      </w:r>
      <w:r>
        <w:rPr>
          <w:rFonts w:ascii="Times New Roman" w:hAnsi="Times New Roman"/>
          <w:sz w:val="24"/>
          <w:szCs w:val="24"/>
          <w:lang w:val="lv-LV"/>
        </w:rPr>
        <w:t xml:space="preserve"> laikā;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9. </w:t>
      </w:r>
      <w:r>
        <w:rPr>
          <w:rFonts w:ascii="Times New Roman" w:hAnsi="Times New Roman"/>
          <w:sz w:val="24"/>
          <w:szCs w:val="24"/>
          <w:u w:val="single"/>
          <w:lang w:val="lv-LV"/>
        </w:rPr>
        <w:t>Garantija attiecas uz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>9.1. durvju pievilcēju;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 xml:space="preserve">9.2. durvju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lv-LV" w:eastAsia="en-US" w:bidi="ar-SA"/>
        </w:rPr>
        <w:t>iekaļamo atslēgu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rFonts w:ascii="Times New Roman" w:hAnsi="Times New Roman"/>
          <w:sz w:val="24"/>
          <w:szCs w:val="24"/>
          <w:lang w:val="lv-LV"/>
        </w:rPr>
        <w:t>9.3.visiem konstrukcijas elementiem.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227" w:right="0" w:hanging="2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rFonts w:eastAsia="Times New Roman" w:cs="Times New Roman"/>
          <w:bCs/>
          <w:color w:val="000000"/>
          <w:kern w:val="0"/>
          <w:sz w:val="24"/>
          <w:szCs w:val="24"/>
          <w:lang w:val="lv-LV" w:eastAsia="lv-LV" w:bidi="ar-SA"/>
        </w:rPr>
        <w:t>Ārdurvju bloka</w:t>
      </w:r>
      <w:r>
        <w:rPr>
          <w:color w:val="000000"/>
          <w:sz w:val="24"/>
          <w:szCs w:val="24"/>
        </w:rPr>
        <w:t xml:space="preserve"> rāmju un vērtņu izgatavošanai izmantojamais materiāls – </w:t>
      </w:r>
      <w:r>
        <w:rPr>
          <w:rFonts w:eastAsia="NSimSun" w:cs="Mangal"/>
          <w:color w:val="000000"/>
          <w:kern w:val="2"/>
          <w:sz w:val="24"/>
          <w:szCs w:val="24"/>
          <w:lang w:val="lv-LV" w:eastAsia="zh-CN" w:bidi="hi-IN"/>
        </w:rPr>
        <w:t>Metāls.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283" w:right="0" w:hanging="283"/>
        <w:jc w:val="both"/>
        <w:textAlignment w:val="baseline"/>
        <w:rPr/>
      </w:pPr>
      <w:r>
        <w:rPr>
          <w:color w:val="000000"/>
          <w:sz w:val="24"/>
          <w:szCs w:val="24"/>
        </w:rPr>
        <w:t>11. Durvju profila biezums 70mm vai biezāks.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283" w:right="0" w:hanging="283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12. Al</w:t>
      </w:r>
      <w:r>
        <w:rPr>
          <w:rFonts w:eastAsia="NSimSun" w:cs="Mang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lv-LV" w:eastAsia="zh-CN" w:bidi="hi-IN"/>
        </w:rPr>
        <w:t>um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īnija slieksnis.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283" w:right="0" w:hanging="283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13. Pievilcējmehānism</w:t>
      </w:r>
      <w:r>
        <w:rPr>
          <w:rFonts w:eastAsia="NSimSun" w:cs="Mang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lv-LV" w:eastAsia="zh-CN" w:bidi="hi-IN"/>
        </w:rPr>
        <w:t>s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GEZE 2000 ar montāžas plāksni vai </w:t>
      </w:r>
      <w:r>
        <w:rPr>
          <w:rFonts w:eastAsia="NSimSun" w:cs="Mang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lv-LV" w:eastAsia="zh-CN" w:bidi="hi-IN"/>
        </w:rPr>
        <w:t>analogs.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283" w:right="0" w:hanging="283"/>
        <w:jc w:val="both"/>
        <w:textAlignment w:val="baseline"/>
        <w:rPr/>
      </w:pPr>
      <w:r>
        <w:rPr>
          <w:rFonts w:eastAsia="NSimSun" w:cs="Mang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lv-LV" w:eastAsia="zh-CN" w:bidi="hi-IN"/>
        </w:rPr>
        <w:t>14. A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</w:rPr>
        <w:t>tvērto durvju fiksācijas kājiņa.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283" w:right="0" w:hanging="283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15.</w:t>
      </w:r>
      <w:r>
        <w:rPr>
          <w:sz w:val="24"/>
          <w:szCs w:val="24"/>
        </w:rPr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Katram durvju blokam jānodrošina</w:t>
      </w:r>
      <w:r>
        <w:rPr>
          <w:sz w:val="24"/>
          <w:szCs w:val="24"/>
        </w:rPr>
        <w:t>: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24" w:right="0" w:hanging="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15.</w:t>
      </w:r>
      <w:r>
        <w:rPr>
          <w:sz w:val="24"/>
          <w:szCs w:val="24"/>
        </w:rPr>
        <w:t>1. Vēja slodzes noturība LVS EN 14351-1:2006-Klase ne zemāka par C4/B5 vai identiska;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24" w:right="0" w:hanging="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15.</w:t>
      </w:r>
      <w:r>
        <w:rPr>
          <w:sz w:val="24"/>
          <w:szCs w:val="24"/>
        </w:rPr>
        <w:t>2. Gaisa caurlaidības LVS EN 14351-1:2006-Klase ne zemāka par 4 vai identiska;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24" w:right="0" w:hanging="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15.</w:t>
      </w:r>
      <w:r>
        <w:rPr>
          <w:sz w:val="24"/>
          <w:szCs w:val="24"/>
        </w:rPr>
        <w:t>3. Ūdensnecaurlaidība LVS EN 14351-1:2006-Klase ne zemāka par 9A vai identiska;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24" w:right="0" w:hanging="3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15.</w:t>
      </w:r>
      <w:r>
        <w:rPr>
          <w:sz w:val="24"/>
          <w:szCs w:val="24"/>
        </w:rPr>
        <w:t>4. Atkārtotas atvēršanas aizvēršanas izturība LVS EN 12400:2003 vismaz 10000 reizes.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16.</w:t>
      </w:r>
      <w:r>
        <w:rPr>
          <w:sz w:val="24"/>
          <w:szCs w:val="24"/>
        </w:rPr>
        <w:t xml:space="preserve"> Redzamajiem rāmju un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durvju</w:t>
      </w:r>
      <w:r>
        <w:rPr>
          <w:sz w:val="24"/>
          <w:szCs w:val="24"/>
        </w:rPr>
        <w:t xml:space="preserve"> virsmas laukumiem jābūt gludiem un līdzeniem, uz tiem nedrīkst atrasties svešķermeņi vai bojājuma vietas.   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</w:t>
      </w:r>
      <w:r>
        <w:rPr>
          <w:sz w:val="24"/>
          <w:szCs w:val="24"/>
        </w:rPr>
        <w:t xml:space="preserve"> Veicot ārdurvju bloku nomaiņu, piegādātājs ievēro tirgus izpētes prasības, šo tehnisko specifikāciju, kā arī būvniecību reglamentējošos normatīvos aktus, it sevišķi: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80" w:right="0" w:hanging="397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17.1.</w:t>
      </w:r>
      <w:r>
        <w:rPr>
          <w:sz w:val="24"/>
          <w:szCs w:val="24"/>
        </w:rPr>
        <w:t xml:space="preserve"> Ministru kabineta 2014.gada 25.marta noteikumi Nr.156 "Būvizstrādājumu tirgus uzraudzības kārtība";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80" w:right="0" w:hanging="397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17.2.</w:t>
      </w:r>
      <w:r>
        <w:rPr>
          <w:sz w:val="24"/>
          <w:szCs w:val="24"/>
        </w:rPr>
        <w:t xml:space="preserve"> Ministru kabineta noteikumi 2015.gada 30.jūnija Nr.333 "Noteikumi par Latvijas LBN 201-15 "Būvju ugunsdrošība;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80" w:right="0" w:hanging="397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17.3.</w:t>
      </w:r>
      <w:r>
        <w:rPr>
          <w:rFonts w:ascii="Times New Roman" w:hAnsi="Times New Roman"/>
          <w:color w:val="000000"/>
          <w:sz w:val="24"/>
          <w:szCs w:val="24"/>
        </w:rPr>
        <w:t xml:space="preserve"> Ministru kabineta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2019. gada 25. jūnij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noteikumi Nr.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280</w:t>
      </w:r>
      <w:r>
        <w:rPr>
          <w:rFonts w:ascii="Times New Roman" w:hAnsi="Times New Roman"/>
          <w:color w:val="000000"/>
          <w:sz w:val="24"/>
          <w:szCs w:val="24"/>
        </w:rPr>
        <w:t xml:space="preserve"> "Noteikumi par Latvijas būvnormatīvu LBN 002-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Ēku norobežojošo konstrukciju siltumtehnika</w:t>
      </w:r>
      <w:r>
        <w:rPr>
          <w:rFonts w:ascii="Times New Roman" w:hAnsi="Times New Roman"/>
          <w:color w:val="000000"/>
          <w:sz w:val="24"/>
          <w:szCs w:val="24"/>
        </w:rPr>
        <w:t xml:space="preserve"> ";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680" w:right="0" w:hanging="397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17.4.</w:t>
      </w:r>
      <w:r>
        <w:rPr>
          <w:sz w:val="24"/>
          <w:szCs w:val="24"/>
        </w:rPr>
        <w:t xml:space="preserve"> Kā arī, bet ne tikai, šādus standartus, nosakot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durvju</w:t>
      </w:r>
      <w:r>
        <w:rPr>
          <w:sz w:val="24"/>
          <w:szCs w:val="24"/>
        </w:rPr>
        <w:t xml:space="preserve"> tehniskos rādītājus: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1191" w:right="0" w:hanging="340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17.4.</w:t>
      </w:r>
      <w:r>
        <w:rPr>
          <w:sz w:val="24"/>
          <w:szCs w:val="24"/>
        </w:rPr>
        <w:t>1. LVS EN 14351-1:2006 „Logi un durvis. Izstrādājumu standarts, veiktspējas raksturlielumi”;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1644" w:right="0" w:hanging="794"/>
        <w:jc w:val="both"/>
        <w:textAlignment w:val="baseline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17.4.2</w:t>
      </w:r>
      <w:r>
        <w:rPr>
          <w:sz w:val="24"/>
          <w:szCs w:val="24"/>
        </w:rPr>
        <w:t>. LVS EN 12400:2003 „Logi un durvis - Mehāniskā ilgizturība - Prasības un klasifikācija”.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397" w:right="0" w:hanging="39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18.</w:t>
      </w:r>
      <w:r>
        <w:rPr>
          <w:sz w:val="24"/>
          <w:szCs w:val="24"/>
        </w:rPr>
        <w:t xml:space="preserve"> Pirms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durvju bloku</w:t>
      </w:r>
      <w:r>
        <w:rPr>
          <w:sz w:val="24"/>
          <w:szCs w:val="24"/>
        </w:rPr>
        <w:t xml:space="preserve"> nomaiņas piegādātājs veic precīzus mērījumus vis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ām</w:t>
      </w:r>
      <w:r>
        <w:rPr>
          <w:sz w:val="24"/>
          <w:szCs w:val="24"/>
        </w:rPr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ā</w:t>
      </w:r>
      <w:r>
        <w:rPr>
          <w:sz w:val="24"/>
          <w:szCs w:val="24"/>
        </w:rPr>
        <w:t>rdurvīm, mērījumu laiku saskaņojot ar Pasūtītāju.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454" w:right="0" w:hanging="4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19.</w:t>
      </w:r>
      <w:r>
        <w:rPr>
          <w:sz w:val="24"/>
          <w:szCs w:val="24"/>
        </w:rPr>
        <w:t xml:space="preserve"> Darba laikā nepieciešams norobežot darbu veikšanas vietu, nodrošinot putekļu neiekļūšanu telpās, nesabojāt grīdas segumu, būvgružu iznešana jāveic katru dienu. Pēc darbu pabeigšanas izpildītājs savāc būvgružus un veic telpas un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durvju</w:t>
      </w:r>
      <w:r>
        <w:rPr>
          <w:sz w:val="24"/>
          <w:szCs w:val="24"/>
        </w:rPr>
        <w:t xml:space="preserve"> tīrīšanu.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454" w:right="0" w:hanging="4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20.</w:t>
      </w:r>
      <w:r>
        <w:rPr>
          <w:sz w:val="24"/>
          <w:szCs w:val="24"/>
        </w:rPr>
        <w:t xml:space="preserve">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Ieeju ārdurvju bloku</w:t>
      </w:r>
      <w:r>
        <w:rPr>
          <w:sz w:val="24"/>
          <w:szCs w:val="24"/>
        </w:rPr>
        <w:t xml:space="preserve"> nomaiņas laiks un darbi, kas saistīti ar paaugstinātu troksni saskaņojami   ar pasūtītāju.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454" w:right="0" w:hanging="4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21</w:t>
      </w:r>
      <w:r>
        <w:rPr>
          <w:sz w:val="24"/>
          <w:szCs w:val="24"/>
        </w:rPr>
        <w:t xml:space="preserve">. Piegādātājs nodrošina demontēto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durvju</w:t>
      </w:r>
      <w:r>
        <w:rPr>
          <w:sz w:val="24"/>
          <w:szCs w:val="24"/>
        </w:rPr>
        <w:t xml:space="preserve"> un citu būvgružu utilizāciju.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454" w:right="0" w:hanging="4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22.</w:t>
      </w:r>
      <w:r>
        <w:rPr>
          <w:sz w:val="24"/>
          <w:szCs w:val="24"/>
          <w:u w:val="none"/>
        </w:rPr>
        <w:t xml:space="preserve"> </w:t>
      </w:r>
      <w:r>
        <w:rPr>
          <w:rFonts w:eastAsia="NSimSun" w:cs="Mangal"/>
          <w:color w:val="auto"/>
          <w:kern w:val="2"/>
          <w:sz w:val="24"/>
          <w:szCs w:val="24"/>
          <w:u w:val="single"/>
          <w:lang w:val="lv-LV" w:eastAsia="zh-CN" w:bidi="hi-IN"/>
        </w:rPr>
        <w:t>Durvju bloku</w:t>
      </w:r>
      <w:r>
        <w:rPr>
          <w:sz w:val="24"/>
          <w:szCs w:val="24"/>
          <w:u w:val="single"/>
        </w:rPr>
        <w:t xml:space="preserve"> montāža</w:t>
      </w:r>
      <w:r>
        <w:rPr>
          <w:sz w:val="24"/>
          <w:szCs w:val="24"/>
          <w:u w:val="none"/>
        </w:rPr>
        <w:t>: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850" w:right="0" w:hanging="51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22.</w:t>
      </w:r>
      <w:r>
        <w:rPr>
          <w:sz w:val="24"/>
          <w:szCs w:val="24"/>
        </w:rPr>
        <w:t xml:space="preserve">1. Pirms darbu uzsākšanas piegādātājs iesniedz pasūtītājam 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durvju</w:t>
      </w:r>
      <w:r>
        <w:rPr>
          <w:sz w:val="24"/>
          <w:szCs w:val="24"/>
        </w:rPr>
        <w:t xml:space="preserve"> montāžas tehnoloģisko aprakstu.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907" w:righ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22.</w:t>
      </w:r>
      <w:r>
        <w:rPr>
          <w:sz w:val="24"/>
          <w:szCs w:val="24"/>
        </w:rPr>
        <w:t xml:space="preserve">2. </w:t>
      </w:r>
      <w:r>
        <w:rPr>
          <w:rFonts w:eastAsia="NSimSun" w:cs="Mangal"/>
          <w:color w:val="auto"/>
          <w:kern w:val="2"/>
          <w:sz w:val="24"/>
          <w:szCs w:val="24"/>
          <w:u w:val="none"/>
          <w:lang w:val="lv-LV" w:eastAsia="zh-CN" w:bidi="hi-IN"/>
        </w:rPr>
        <w:t>Durvju bloku</w:t>
      </w:r>
      <w:r>
        <w:rPr>
          <w:sz w:val="24"/>
          <w:szCs w:val="24"/>
        </w:rPr>
        <w:t xml:space="preserve"> nostiprināšanai – d</w:t>
      </w:r>
      <w:r>
        <w:rPr>
          <w:rFonts w:eastAsia="NSimSun" w:cs="Mangal"/>
          <w:color w:val="auto"/>
          <w:kern w:val="2"/>
          <w:sz w:val="24"/>
          <w:szCs w:val="24"/>
          <w:u w:val="none"/>
          <w:lang w:val="lv-LV" w:eastAsia="zh-CN" w:bidi="hi-IN"/>
        </w:rPr>
        <w:t>urvju bloku</w:t>
      </w:r>
      <w:r>
        <w:rPr>
          <w:sz w:val="24"/>
          <w:szCs w:val="24"/>
        </w:rPr>
        <w:t xml:space="preserve"> svara pārnešanai uz būvkonstrukciju hermētiķu, līmes, putu siltinātāju vai celtniecības naglu pielietošana nav pieļaujama.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1020" w:right="0" w:hanging="6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22.</w:t>
      </w:r>
      <w:r>
        <w:rPr>
          <w:sz w:val="24"/>
          <w:szCs w:val="24"/>
        </w:rPr>
        <w:t>3. Visos blīvējuma līmeņos blīvējumiem jābūt nepārtrauktiem ar augstu laika apstākļu noturību un augstu elastības spēju. Ieklājot putas, jāseko, lai neveidotos ar putām neaizpildīti tukšumi.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left="907" w:righ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22.</w:t>
      </w:r>
      <w:r>
        <w:rPr>
          <w:sz w:val="24"/>
          <w:szCs w:val="24"/>
        </w:rPr>
        <w:t xml:space="preserve">4. </w:t>
      </w:r>
      <w:r>
        <w:rPr>
          <w:rFonts w:eastAsia="NSimSun" w:cs="Mangal"/>
          <w:color w:val="auto"/>
          <w:kern w:val="2"/>
          <w:sz w:val="24"/>
          <w:szCs w:val="24"/>
          <w:u w:val="none"/>
          <w:lang w:val="lv-LV" w:eastAsia="zh-CN" w:bidi="hi-IN"/>
        </w:rPr>
        <w:t>Durvju bloku</w:t>
      </w:r>
      <w:r>
        <w:rPr>
          <w:sz w:val="24"/>
          <w:szCs w:val="24"/>
        </w:rPr>
        <w:t xml:space="preserve"> ailēm apmetuma apdar</w:t>
      </w:r>
      <w:r>
        <w:rPr>
          <w:rFonts w:eastAsia="NSimSun" w:cs="Mangal"/>
          <w:color w:val="auto"/>
          <w:kern w:val="2"/>
          <w:sz w:val="24"/>
          <w:szCs w:val="24"/>
          <w:lang w:val="lv-LV" w:eastAsia="zh-CN" w:bidi="hi-IN"/>
        </w:rPr>
        <w:t>ē</w:t>
      </w:r>
      <w:r>
        <w:rPr>
          <w:sz w:val="24"/>
          <w:szCs w:val="24"/>
        </w:rPr>
        <w:t>, pieļaujami labojami ar ģipškartonu vai identisku materiālu. Balts krāsojums vai pēc sienas krāsojuma.</w:t>
      </w:r>
    </w:p>
    <w:p>
      <w:pPr>
        <w:pStyle w:val="NoSpacing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 xml:space="preserve">23. </w:t>
      </w:r>
      <w:r>
        <w:rPr>
          <w:rFonts w:eastAsia="NSimSun" w:cs="Mangal" w:ascii="Times New Roman" w:hAnsi="Times New Roman"/>
          <w:color w:val="auto"/>
          <w:kern w:val="2"/>
          <w:sz w:val="24"/>
          <w:szCs w:val="24"/>
          <w:lang w:val="lv-LV" w:eastAsia="zh-CN" w:bidi="hi-IN"/>
        </w:rPr>
        <w:t>Metāla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d</w:t>
      </w:r>
      <w:r>
        <w:rPr>
          <w:rFonts w:eastAsia="NSimSun" w:cs="Mangal" w:ascii="Times New Roman" w:hAnsi="Times New Roman"/>
          <w:color w:val="auto"/>
          <w:kern w:val="2"/>
          <w:sz w:val="24"/>
          <w:szCs w:val="24"/>
          <w:u w:val="none"/>
          <w:lang w:val="lv-LV" w:eastAsia="zh-CN" w:bidi="hi-IN"/>
        </w:rPr>
        <w:t>urvju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bloku izgatavošan</w:t>
      </w:r>
      <w:r>
        <w:rPr>
          <w:rFonts w:eastAsia="Calibri" w:cs="Times New Roman" w:ascii="Times New Roman" w:hAnsi="Times New Roman"/>
          <w:sz w:val="24"/>
          <w:szCs w:val="24"/>
          <w:lang w:val="lv-LV"/>
        </w:rPr>
        <w:t>a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daudzdzīvokļu dzīvojamai mājai: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907" w:righ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lv-LV"/>
        </w:rPr>
        <w:t xml:space="preserve">23.1.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lv-LV" w:eastAsia="en-US" w:bidi="ar-SA"/>
        </w:rPr>
        <w:t>Tautas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lv-LV" w:eastAsia="lv-LV" w:bidi="ar-SA"/>
        </w:rPr>
        <w:t xml:space="preserve"> ielā 13 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–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4"/>
          <w:shd w:fill="auto" w:val="clear"/>
          <w:lang w:val="lv-LV" w:eastAsia="en-US" w:bidi="ar-SA"/>
        </w:rPr>
        <w:t>2</w:t>
      </w:r>
      <w:r>
        <w:rPr>
          <w:rFonts w:cs="Times New Roman" w:ascii="Times New Roman" w:hAnsi="Times New Roman"/>
          <w:sz w:val="24"/>
          <w:szCs w:val="24"/>
          <w:lang w:val="lv-LV"/>
        </w:rPr>
        <w:t xml:space="preserve"> gab.,</w:t>
      </w:r>
    </w:p>
    <w:sectPr>
      <w:type w:val="nextPage"/>
      <w:pgSz w:w="11906" w:h="16838"/>
      <w:pgMar w:left="2604" w:right="112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1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d311f0"/>
    <w:rPr>
      <w:color w:val="0000FF" w:themeColor="hyperlink"/>
      <w:u w:val="single"/>
    </w:rPr>
  </w:style>
  <w:style w:type="character" w:styleId="Apmekltainternetasaite">
    <w:name w:val="Apmeklēta interneta saite"/>
    <w:basedOn w:val="DefaultParagraphFont"/>
    <w:rPr>
      <w:color w:val="954F72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11f0"/>
    <w:pPr>
      <w:spacing w:before="0" w:after="200"/>
      <w:ind w:left="720" w:hanging="0"/>
      <w:contextualSpacing/>
    </w:pPr>
    <w:rPr/>
  </w:style>
  <w:style w:type="paragraph" w:styleId="Naisnod" w:customStyle="1">
    <w:name w:val="naisnod"/>
    <w:basedOn w:val="Normal"/>
    <w:qFormat/>
    <w:rsid w:val="00d311f0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oSpacing">
    <w:name w:val="No Spacing"/>
    <w:uiPriority w:val="1"/>
    <w:qFormat/>
    <w:rsid w:val="00580b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NSimSun" w:cs="Mangal"/>
      <w:color w:val="auto"/>
      <w:kern w:val="2"/>
      <w:sz w:val="24"/>
      <w:szCs w:val="24"/>
      <w:lang w:val="lv-LV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LibreOffice/7.3.2.2$Windows_X86_64 LibreOffice_project/49f2b1bff42cfccbd8f788c8dc32c1c309559be0</Application>
  <AppVersion>15.0000</AppVersion>
  <Pages>3</Pages>
  <Words>777</Words>
  <Characters>5197</Characters>
  <CharactersWithSpaces>5931</CharactersWithSpaces>
  <Paragraphs>63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2016-12-20T13:30:00Z</dcterms:created>
  <dc:creator>User</dc:creator>
  <dc:description/>
  <dc:language>lv-LV</dc:language>
  <cp:lastModifiedBy/>
  <cp:lastPrinted>2024-06-12T08:22:46Z</cp:lastPrinted>
  <dcterms:modified xsi:type="dcterms:W3CDTF">2024-06-12T14:40:22Z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